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4A80509E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2E4FC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8E675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191ED8FA" w14:textId="179AD45E" w:rsidR="00B732D2" w:rsidRPr="00D5214D" w:rsidRDefault="00B732D2" w:rsidP="00B732D2">
      <w:pPr>
        <w:spacing w:line="276" w:lineRule="auto"/>
        <w:ind w:left="5103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 xml:space="preserve">Aprova </w:t>
      </w:r>
      <w:r w:rsidR="00676F74">
        <w:rPr>
          <w:rFonts w:ascii="Times New Roman" w:hAnsi="Times New Roman"/>
          <w:sz w:val="22"/>
          <w:szCs w:val="22"/>
        </w:rPr>
        <w:t xml:space="preserve">o </w:t>
      </w:r>
      <w:r w:rsidR="002075BD">
        <w:rPr>
          <w:rFonts w:ascii="Times New Roman" w:hAnsi="Times New Roman"/>
          <w:sz w:val="22"/>
          <w:szCs w:val="22"/>
        </w:rPr>
        <w:t>acordo coletivo 2024 CAU/MT</w:t>
      </w:r>
      <w:r w:rsidR="00160456">
        <w:rPr>
          <w:rFonts w:ascii="Times New Roman" w:hAnsi="Times New Roman"/>
          <w:sz w:val="22"/>
          <w:szCs w:val="22"/>
        </w:rPr>
        <w:t>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3AF1A61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2E4FC4">
        <w:rPr>
          <w:rFonts w:ascii="Times New Roman" w:hAnsi="Times New Roman"/>
          <w:color w:val="000000"/>
          <w:sz w:val="22"/>
          <w:szCs w:val="22"/>
        </w:rPr>
        <w:t>25 de novembro de 2023</w:t>
      </w:r>
      <w:r w:rsidRPr="00D5214D">
        <w:rPr>
          <w:rFonts w:ascii="Times New Roman" w:hAnsi="Times New Roman"/>
          <w:color w:val="000000"/>
          <w:sz w:val="22"/>
          <w:szCs w:val="22"/>
        </w:rPr>
        <w:t>, após análise do assunto em epígrafe, e</w:t>
      </w:r>
    </w:p>
    <w:p w14:paraId="29666EFC" w14:textId="77777777" w:rsidR="00B732D2" w:rsidRPr="00D5214D" w:rsidRDefault="00B732D2" w:rsidP="00B732D2">
      <w:pPr>
        <w:spacing w:line="276" w:lineRule="auto"/>
        <w:ind w:left="-284"/>
        <w:jc w:val="both"/>
        <w:rPr>
          <w:rFonts w:ascii="Times New Roman" w:hAnsi="Times New Roman"/>
          <w:color w:val="000000"/>
          <w:sz w:val="22"/>
          <w:szCs w:val="22"/>
        </w:rPr>
      </w:pPr>
    </w:p>
    <w:bookmarkEnd w:id="0"/>
    <w:p w14:paraId="2F08F644" w14:textId="1ACEC29A" w:rsidR="002075BD" w:rsidRDefault="002075BD" w:rsidP="006116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a solicitação para realização de Acordo Coletivo com os servidores efetivos e comissionados do CAU/MT, conforme protocolo de nº. 1821548/2023. </w:t>
      </w:r>
    </w:p>
    <w:p w14:paraId="7F2D442B" w14:textId="77777777" w:rsidR="002075BD" w:rsidRPr="002075BD" w:rsidRDefault="002075BD" w:rsidP="006116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05DC695F" w14:textId="77777777" w:rsidR="002075BD" w:rsidRDefault="002075BD" w:rsidP="006116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a proposta de Acordo Coletivo apresentada, devidamente assinada pelos servidores: Ana Carolina Yousef Cubas, Caíque Alves Barboza, Cindy Satomi </w:t>
      </w:r>
      <w:proofErr w:type="spellStart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>Miyagawa</w:t>
      </w:r>
      <w:proofErr w:type="spellEnd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Ito, Daiane Passos Lima, </w:t>
      </w:r>
      <w:proofErr w:type="spellStart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>Esthefan</w:t>
      </w:r>
      <w:proofErr w:type="spellEnd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Leopoldo Amorim da Silva, Guilherme Trad, Ivan Felipe Lima de Oliveira, Juliana </w:t>
      </w:r>
      <w:proofErr w:type="spellStart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>Sayumi</w:t>
      </w:r>
      <w:proofErr w:type="spellEnd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Kobayashi, Michel Castro Lima, Natália Martins Magri, Natália Pinheiro da Silva, Thamara </w:t>
      </w:r>
      <w:proofErr w:type="spellStart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>Thaliery</w:t>
      </w:r>
      <w:proofErr w:type="spellEnd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dos Santos, Tiago Ito </w:t>
      </w:r>
      <w:proofErr w:type="spellStart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>Eleodoro</w:t>
      </w:r>
      <w:proofErr w:type="spellEnd"/>
      <w:r w:rsidRPr="002075B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, Vinicius Vieira Moura e Yasmine Ibrahim Ali Martins. </w:t>
      </w:r>
    </w:p>
    <w:p w14:paraId="527C66F5" w14:textId="77777777" w:rsidR="002075BD" w:rsidRPr="002075BD" w:rsidRDefault="002075BD" w:rsidP="006116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5E145082" w14:textId="4C4D7D01" w:rsidR="005C1EE8" w:rsidRDefault="002075BD" w:rsidP="0061169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2075BD">
        <w:rPr>
          <w:rFonts w:ascii="Times New Roman" w:hAnsi="Times New Roman" w:cs="Times New Roman"/>
          <w:sz w:val="22"/>
          <w:szCs w:val="22"/>
        </w:rPr>
        <w:t>onsiderando o parecer do Conselheiro Relator Alexsandro Reis</w:t>
      </w:r>
      <w:r>
        <w:rPr>
          <w:rFonts w:ascii="Times New Roman" w:hAnsi="Times New Roman" w:cs="Times New Roman"/>
          <w:sz w:val="22"/>
          <w:szCs w:val="22"/>
        </w:rPr>
        <w:t>, devidamente aprovado pela Deliberação n.º 324/2023 CAF CAU/MT, de 14 de novembro de 2023.</w:t>
      </w:r>
    </w:p>
    <w:p w14:paraId="3C1C1684" w14:textId="77777777" w:rsidR="002075BD" w:rsidRDefault="002075BD" w:rsidP="0061169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559722" w14:textId="3EDF48B2" w:rsidR="002075BD" w:rsidRDefault="002075BD" w:rsidP="00611693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Gerência Geral do CAU/MT encaminhou a Deliberação </w:t>
      </w:r>
      <w:r w:rsidR="008B055F">
        <w:rPr>
          <w:rFonts w:ascii="Times New Roman" w:hAnsi="Times New Roman" w:cs="Times New Roman"/>
          <w:sz w:val="22"/>
          <w:szCs w:val="22"/>
        </w:rPr>
        <w:t xml:space="preserve">n.º 324/2023 CAF CAU/MT, de 14 de novembro de 2023 com seus anexos </w:t>
      </w:r>
      <w:r>
        <w:rPr>
          <w:rFonts w:ascii="Times New Roman" w:hAnsi="Times New Roman" w:cs="Times New Roman"/>
          <w:sz w:val="22"/>
          <w:szCs w:val="22"/>
        </w:rPr>
        <w:t xml:space="preserve">aos servidores </w:t>
      </w:r>
      <w:r w:rsidRPr="002075BD">
        <w:rPr>
          <w:rFonts w:ascii="Times New Roman" w:hAnsi="Times New Roman"/>
          <w:sz w:val="22"/>
          <w:szCs w:val="22"/>
        </w:rPr>
        <w:t xml:space="preserve">para conhecimento e apreciação e/ou contestação, </w:t>
      </w:r>
      <w:r>
        <w:rPr>
          <w:rFonts w:ascii="Times New Roman" w:hAnsi="Times New Roman"/>
          <w:sz w:val="22"/>
          <w:szCs w:val="22"/>
        </w:rPr>
        <w:t xml:space="preserve">conforme estabelecido pela Deliberação </w:t>
      </w:r>
      <w:r w:rsidR="008B055F">
        <w:rPr>
          <w:rFonts w:ascii="Times New Roman" w:hAnsi="Times New Roman"/>
          <w:sz w:val="22"/>
          <w:szCs w:val="22"/>
        </w:rPr>
        <w:t xml:space="preserve">citada </w:t>
      </w:r>
      <w:r>
        <w:rPr>
          <w:rFonts w:ascii="Times New Roman" w:hAnsi="Times New Roman"/>
          <w:sz w:val="22"/>
          <w:szCs w:val="22"/>
        </w:rPr>
        <w:t>e que os servidores estão de acordo com o Acordo Coletivo aprovado pela CAF CAU/MT.</w:t>
      </w:r>
    </w:p>
    <w:p w14:paraId="62B82457" w14:textId="77777777" w:rsidR="002075BD" w:rsidRDefault="002075BD" w:rsidP="002075B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20823DF3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D55AF73" w14:textId="4A745A9B" w:rsidR="00611693" w:rsidRDefault="00611693" w:rsidP="00611693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bookmarkStart w:id="1" w:name="_Hlk152981366"/>
      <w:r w:rsidRPr="0061169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Aprovar 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e homologar </w:t>
      </w:r>
      <w:r w:rsidRPr="0061169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o Acordo Coletivo dos empregados do Conselho de Arquitetura e Urbanismo de Mato Grosso (CAU/MT), conforme segue: </w:t>
      </w:r>
    </w:p>
    <w:bookmarkEnd w:id="1"/>
    <w:p w14:paraId="3A43229F" w14:textId="77777777" w:rsidR="00611693" w:rsidRDefault="00611693" w:rsidP="00611693">
      <w:pPr>
        <w:pStyle w:val="PargrafodaLista"/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3827"/>
      </w:tblGrid>
      <w:tr w:rsidR="00611693" w14:paraId="79274533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27E9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CLÁUSULA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0F07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6345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TEXTO ALTERADO</w:t>
            </w:r>
          </w:p>
        </w:tc>
      </w:tr>
      <w:tr w:rsidR="00611693" w14:paraId="094C7625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AE62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2" w:name="_Hlk152981382"/>
            <w:r>
              <w:t>CLÁUSULA PRIMEIRA – VIGÊNCIA E DATA-BASE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E55B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3" w:name="_Hlk152981390"/>
            <w:r>
              <w:t>APROVADO</w:t>
            </w:r>
            <w:bookmarkEnd w:id="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A25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1A5C9B6C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314C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4" w:name="_Hlk152981398"/>
            <w:r>
              <w:t>CLÁUSULA SEGUNDA – ABRANGÊNCIA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11D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5" w:name="_Hlk152981405"/>
            <w:r>
              <w:t>APROVADO</w:t>
            </w:r>
            <w:bookmarkEnd w:id="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42A5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3264A9D6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2BD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6" w:name="_Hlk152981412"/>
            <w:r>
              <w:t>CLÁUSULA TERCEIRA – REAJUSTE SALARIAL</w:t>
            </w:r>
            <w:bookmarkEnd w:id="6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AEE0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7" w:name="_Hlk152981420"/>
            <w:r>
              <w:t>INDEFERIDO</w:t>
            </w:r>
          </w:p>
          <w:p w14:paraId="2B1FAF4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(Parte final)</w:t>
            </w:r>
            <w:bookmarkEnd w:id="7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F469" w14:textId="77777777" w:rsidR="00611693" w:rsidRDefault="00611693" w:rsidP="008F161C">
            <w:pPr>
              <w:jc w:val="both"/>
            </w:pPr>
            <w:r>
              <w:rPr>
                <w:b/>
                <w:bCs/>
                <w:i/>
                <w:iCs/>
              </w:rPr>
              <w:t xml:space="preserve">CLÁUSULA TERCEIRA - </w:t>
            </w:r>
            <w:r>
              <w:rPr>
                <w:b/>
                <w:i/>
                <w:iCs/>
                <w:color w:val="000000"/>
              </w:rPr>
              <w:t xml:space="preserve">REAJUSTE SALARIAL </w:t>
            </w:r>
          </w:p>
          <w:p w14:paraId="62715F5F" w14:textId="77777777" w:rsidR="00611693" w:rsidRDefault="00611693" w:rsidP="008F161C">
            <w:pPr>
              <w:jc w:val="both"/>
            </w:pPr>
            <w:r>
              <w:rPr>
                <w:i/>
                <w:iCs/>
                <w:color w:val="000000"/>
              </w:rPr>
              <w:t xml:space="preserve">Aplicação do reajuste anual conforme previsto na </w:t>
            </w:r>
            <w:r>
              <w:rPr>
                <w:i/>
                <w:iCs/>
              </w:rPr>
              <w:t xml:space="preserve">Constituição Federal em favor de todos os servidores públicos, de acordo com os percentuais de aumento das </w:t>
            </w:r>
            <w:r>
              <w:rPr>
                <w:i/>
                <w:iCs/>
              </w:rPr>
              <w:lastRenderedPageBreak/>
              <w:t>anuidades profissional dos arquitetos e urbanistas e Registro de Responsabilidade Técnica, sendo aplicada a média dos percentuais de reajuste realizados anualmente, quando diferentes, na forma do art. 42 §1º da Lei nº 12.378/2010.</w:t>
            </w:r>
          </w:p>
        </w:tc>
      </w:tr>
      <w:tr w:rsidR="00611693" w14:paraId="38A1CC5B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46EA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8" w:name="_Hlk152981440"/>
            <w:r>
              <w:lastRenderedPageBreak/>
              <w:t>CLÁUSULA QUARTA – ADIANTAMENTO DE 13º SALÁRIO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667C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9" w:name="_Hlk152981450"/>
            <w:r>
              <w:t>APROVADO</w:t>
            </w:r>
            <w:bookmarkEnd w:id="9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76F7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26D2A18D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84BE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0" w:name="_Hlk152981459"/>
            <w:bookmarkEnd w:id="8"/>
            <w:r>
              <w:t>CLÁUSULA QUINTA – PAGAMENTO DO SALÁRIO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4403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22E0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3712DDD4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5E35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SEXTA – AUXÍLIO ALIMENTAÇÃO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1C1B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ED3C" w14:textId="77777777" w:rsidR="00611693" w:rsidRDefault="00611693" w:rsidP="008F161C">
            <w:pPr>
              <w:tabs>
                <w:tab w:val="left" w:pos="709"/>
              </w:tabs>
              <w:jc w:val="both"/>
              <w:rPr>
                <w:shd w:val="clear" w:color="auto" w:fill="FFFF00"/>
              </w:rPr>
            </w:pPr>
          </w:p>
        </w:tc>
      </w:tr>
      <w:tr w:rsidR="00611693" w14:paraId="63C92F27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EF58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SÉTIMA – AUXÍLIO TRANSPORTE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014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 xml:space="preserve">APROVADO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A3E3" w14:textId="77777777" w:rsidR="00611693" w:rsidRDefault="00611693" w:rsidP="008F161C">
            <w:pPr>
              <w:tabs>
                <w:tab w:val="left" w:pos="709"/>
              </w:tabs>
              <w:jc w:val="both"/>
            </w:pPr>
          </w:p>
        </w:tc>
      </w:tr>
      <w:tr w:rsidR="00611693" w14:paraId="0E9353AF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D664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OITAVA – ASSISTÊNCIA ODONTOLÓGICA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9165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AC15" w14:textId="77777777" w:rsidR="00611693" w:rsidRDefault="00611693" w:rsidP="008F161C">
            <w:pPr>
              <w:tabs>
                <w:tab w:val="left" w:pos="709"/>
              </w:tabs>
              <w:jc w:val="both"/>
            </w:pPr>
          </w:p>
        </w:tc>
      </w:tr>
      <w:tr w:rsidR="00611693" w14:paraId="08CAAABC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20F0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NONA – ASSISTÊNCIA MÉDICA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7226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 xml:space="preserve">APROVADO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0946" w14:textId="77777777" w:rsidR="00611693" w:rsidRDefault="00611693" w:rsidP="008F161C">
            <w:pPr>
              <w:tabs>
                <w:tab w:val="left" w:pos="1418"/>
              </w:tabs>
              <w:spacing w:after="120"/>
              <w:jc w:val="both"/>
            </w:pPr>
          </w:p>
        </w:tc>
      </w:tr>
      <w:tr w:rsidR="00611693" w14:paraId="7500043E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9BC7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DÉCIMA – CESTA NATALINA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04F2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A815" w14:textId="77777777" w:rsidR="00611693" w:rsidRDefault="00611693" w:rsidP="008F161C">
            <w:pPr>
              <w:tabs>
                <w:tab w:val="left" w:pos="709"/>
              </w:tabs>
              <w:jc w:val="both"/>
            </w:pPr>
          </w:p>
        </w:tc>
      </w:tr>
      <w:tr w:rsidR="00611693" w14:paraId="649DECB0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BDD4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DÉCIMA PRIMEIRA – LICENÇA MATERNIDADE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DF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8818" w14:textId="77777777" w:rsidR="00611693" w:rsidRDefault="00611693" w:rsidP="008F161C">
            <w:pPr>
              <w:tabs>
                <w:tab w:val="left" w:pos="709"/>
              </w:tabs>
              <w:jc w:val="both"/>
            </w:pPr>
          </w:p>
        </w:tc>
      </w:tr>
      <w:tr w:rsidR="00611693" w14:paraId="0D8EDDE5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1254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DÉCIMA SEGUNDA – LICENÇA PATERNIDADE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D3B0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 xml:space="preserve">APROVADO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977" w14:textId="77777777" w:rsidR="00611693" w:rsidRDefault="00611693" w:rsidP="008F161C">
            <w:pPr>
              <w:jc w:val="both"/>
            </w:pPr>
          </w:p>
        </w:tc>
      </w:tr>
      <w:tr w:rsidR="00611693" w14:paraId="4783CA2C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4E7E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CLÁUSULA DÉCIMA TERCEIRA – LICENÇA POR FALECIMENTO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095E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 xml:space="preserve">APROVADO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53EE" w14:textId="77777777" w:rsidR="00611693" w:rsidRDefault="00611693" w:rsidP="008F161C">
            <w:pPr>
              <w:spacing w:line="360" w:lineRule="auto"/>
              <w:jc w:val="both"/>
            </w:pPr>
          </w:p>
        </w:tc>
      </w:tr>
      <w:tr w:rsidR="00611693" w14:paraId="73060FDD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C570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 xml:space="preserve">CLÁUSULA DÉCIMA QUARTA – JORNADA DE TRABALHO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3027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3989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10E76120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7BFC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1" w:name="_Hlk152981604"/>
            <w:bookmarkEnd w:id="10"/>
            <w:r>
              <w:t>CLÁUSULA DÉCIMA QUINTA – CALENDÁRIO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3F33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INDEFERIDO</w:t>
            </w:r>
          </w:p>
          <w:p w14:paraId="20B55A66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(Manutenção da Cláusula Décima Quinta com a redação atual)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D0D8" w14:textId="77777777" w:rsidR="00611693" w:rsidRDefault="00611693" w:rsidP="008F161C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CLÁUSULA DÉCIMA QUINTA – CALENDÁRIO</w:t>
            </w:r>
          </w:p>
          <w:p w14:paraId="58ADEDD8" w14:textId="77777777" w:rsidR="00611693" w:rsidRDefault="00611693" w:rsidP="008F161C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 CAU/MT realizará previamente o calendário de pontos facultativos e feriados com base no decreto da Prefeitura do respectivo município em que estiver localizado, devendo definir se haverá expediente relacionados ao ponto facultativo no mesmo período.</w:t>
            </w:r>
          </w:p>
          <w:p w14:paraId="238A6F95" w14:textId="77777777" w:rsidR="00611693" w:rsidRDefault="00611693" w:rsidP="008F161C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Parágrafo único:</w:t>
            </w:r>
            <w:r>
              <w:rPr>
                <w:i/>
                <w:iCs/>
                <w:color w:val="000000"/>
              </w:rPr>
              <w:t xml:space="preserve"> Os pontos facultativos que não forem especificados no início do ano, definidos posteriormente pelas Prefeituras, serão avaliados pela presidência do Conselho.</w:t>
            </w:r>
          </w:p>
        </w:tc>
      </w:tr>
      <w:tr w:rsidR="00611693" w14:paraId="6C32D557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D2BB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2" w:name="_Hlk152981616"/>
            <w:bookmarkEnd w:id="11"/>
            <w:r>
              <w:lastRenderedPageBreak/>
              <w:t>CLÁUSULA DÉCIMA SEXTA – HIGIENE E SEGURANÇA DO TRABALHO</w:t>
            </w:r>
            <w:bookmarkEnd w:id="1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1C11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3" w:name="_Hlk152981624"/>
            <w:r>
              <w:t>APROVADO</w:t>
            </w:r>
            <w:bookmarkEnd w:id="13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5A44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45548A7C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6782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4" w:name="_Hlk152981633"/>
            <w:r>
              <w:t>CLÁUSULA DÉCIMA SÉTIMA – PENAL</w:t>
            </w:r>
            <w:bookmarkEnd w:id="1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DEA3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5" w:name="_Hlk152981641"/>
            <w:r>
              <w:t>APROVADO</w:t>
            </w:r>
            <w:bookmarkEnd w:id="15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E929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611693" w14:paraId="04131BE9" w14:textId="77777777" w:rsidTr="0061169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808D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bookmarkStart w:id="16" w:name="_Hlk152981650"/>
            <w:r>
              <w:t>CLÁUSULA DÉCIMA OITAVA – DEMAIS DISPOSITIVOS SOBRE VIGÊNCIA</w:t>
            </w:r>
            <w:bookmarkEnd w:id="16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254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  <w:r>
              <w:t>APROVADO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B9F1" w14:textId="77777777" w:rsidR="00611693" w:rsidRDefault="00611693" w:rsidP="008F161C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</w:tbl>
    <w:p w14:paraId="69AD1CD2" w14:textId="77777777" w:rsidR="00313900" w:rsidRDefault="00313900" w:rsidP="00313900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4AC9BFC" w14:textId="23220517" w:rsidR="00B732D2" w:rsidRPr="00D5214D" w:rsidRDefault="00611693" w:rsidP="00313900">
      <w:pPr>
        <w:pStyle w:val="Default"/>
        <w:jc w:val="both"/>
        <w:rPr>
          <w:rFonts w:ascii="Times New Roman" w:hAnsi="Times New Roman"/>
          <w:sz w:val="22"/>
          <w:szCs w:val="22"/>
        </w:rPr>
      </w:pPr>
      <w:bookmarkStart w:id="17" w:name="_Hlk152981663"/>
      <w:r>
        <w:rPr>
          <w:rFonts w:ascii="Times New Roman" w:hAnsi="Times New Roman"/>
          <w:sz w:val="22"/>
          <w:szCs w:val="22"/>
        </w:rPr>
        <w:t>2</w:t>
      </w:r>
      <w:r w:rsidR="00313900">
        <w:rPr>
          <w:rFonts w:ascii="Times New Roman" w:hAnsi="Times New Roman"/>
          <w:sz w:val="22"/>
          <w:szCs w:val="22"/>
        </w:rPr>
        <w:t xml:space="preserve">. </w:t>
      </w:r>
      <w:r w:rsidR="00B732D2" w:rsidRPr="00D5214D">
        <w:rPr>
          <w:rFonts w:ascii="Times New Roman" w:hAnsi="Times New Roman"/>
          <w:sz w:val="22"/>
          <w:szCs w:val="22"/>
        </w:rPr>
        <w:t>Encaminhar esta deliberação para publicação no sítio eletrônico do CAU/MT.</w:t>
      </w:r>
    </w:p>
    <w:p w14:paraId="0CE8E725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F82CB0" w14:textId="46BADAD9" w:rsidR="00B732D2" w:rsidRPr="00D5214D" w:rsidRDefault="00611693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</w:t>
      </w:r>
      <w:r w:rsidR="00313900">
        <w:rPr>
          <w:rFonts w:ascii="Times New Roman" w:hAnsi="Times New Roman"/>
          <w:sz w:val="22"/>
          <w:szCs w:val="22"/>
          <w:lang w:eastAsia="pt-BR"/>
        </w:rPr>
        <w:t xml:space="preserve">. </w:t>
      </w:r>
      <w:r w:rsidR="00062D3E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D5214D">
        <w:rPr>
          <w:rFonts w:ascii="Times New Roman" w:hAnsi="Times New Roman"/>
          <w:sz w:val="22"/>
          <w:szCs w:val="22"/>
          <w:lang w:eastAsia="pt-BR"/>
        </w:rPr>
        <w:t>Esta deliberação entra em vigor nesta data.</w:t>
      </w:r>
    </w:p>
    <w:bookmarkEnd w:id="17"/>
    <w:p w14:paraId="4BC85D2E" w14:textId="77777777" w:rsidR="00D03B15" w:rsidRPr="00D5214D" w:rsidRDefault="00D03B15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47DEA5E" w14:textId="65F16F7E" w:rsidR="00D03B15" w:rsidRPr="00F9400C" w:rsidRDefault="00D03B15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18" w:name="_Hlk152981354"/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Com </w:t>
      </w:r>
      <w:r w:rsidR="00F74343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dos Conselheiros </w:t>
      </w:r>
      <w:proofErr w:type="spellStart"/>
      <w:r w:rsidR="002E4FC4">
        <w:rPr>
          <w:rFonts w:ascii="Times New Roman" w:hAnsi="Times New Roman"/>
          <w:color w:val="000000" w:themeColor="text1"/>
          <w:sz w:val="22"/>
          <w:szCs w:val="22"/>
        </w:rPr>
        <w:t>Weverthon</w:t>
      </w:r>
      <w:proofErr w:type="spellEnd"/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 Foles Veras, Alexsandro Reis, Cássio Amaral </w:t>
      </w:r>
      <w:proofErr w:type="spellStart"/>
      <w:r w:rsidR="002E4FC4">
        <w:rPr>
          <w:rFonts w:ascii="Times New Roman" w:hAnsi="Times New Roman"/>
          <w:color w:val="000000" w:themeColor="text1"/>
          <w:sz w:val="22"/>
          <w:szCs w:val="22"/>
        </w:rPr>
        <w:t>Mat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>o</w:t>
      </w:r>
      <w:proofErr w:type="spellEnd"/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F9400C">
        <w:rPr>
          <w:rFonts w:ascii="Times New Roman" w:hAnsi="Times New Roman"/>
          <w:bCs/>
          <w:color w:val="000000" w:themeColor="text1"/>
          <w:sz w:val="22"/>
          <w:szCs w:val="22"/>
        </w:rPr>
        <w:t>Almir Sebastião Ribeiro de Souza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>e Deodato Gomes Monteiro Neto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00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0A780F">
        <w:rPr>
          <w:rFonts w:ascii="Times New Roman" w:hAnsi="Times New Roman"/>
          <w:color w:val="000000" w:themeColor="text1"/>
          <w:sz w:val="22"/>
          <w:szCs w:val="22"/>
        </w:rPr>
        <w:t>0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abstenç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ões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ausênci</w:t>
      </w:r>
      <w:r w:rsidR="0089331D">
        <w:rPr>
          <w:rFonts w:ascii="Times New Roman" w:hAnsi="Times New Roman"/>
          <w:b/>
          <w:color w:val="000000" w:themeColor="text1"/>
          <w:sz w:val="22"/>
          <w:szCs w:val="22"/>
        </w:rPr>
        <w:t>as</w:t>
      </w:r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dos Conselheiros Adriano dos Santos, Thiago Rafael </w:t>
      </w:r>
      <w:proofErr w:type="spellStart"/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>Pandini</w:t>
      </w:r>
      <w:proofErr w:type="spellEnd"/>
      <w:r w:rsidR="00F9400C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>Paulo Sérgio de Campos Borges</w:t>
      </w:r>
      <w:r w:rsidR="00F9400C">
        <w:rPr>
          <w:rFonts w:ascii="Times New Roman" w:hAnsi="Times New Roman"/>
          <w:color w:val="000000" w:themeColor="text1"/>
          <w:sz w:val="22"/>
          <w:szCs w:val="22"/>
        </w:rPr>
        <w:t xml:space="preserve"> e Elisângela Fernandes </w:t>
      </w:r>
      <w:proofErr w:type="spellStart"/>
      <w:r w:rsidR="00F9400C">
        <w:rPr>
          <w:rFonts w:ascii="Times New Roman" w:hAnsi="Times New Roman"/>
          <w:color w:val="000000" w:themeColor="text1"/>
          <w:sz w:val="22"/>
          <w:szCs w:val="22"/>
        </w:rPr>
        <w:t>Bokorni</w:t>
      </w:r>
      <w:proofErr w:type="spellEnd"/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bookmarkEnd w:id="18"/>
    <w:p w14:paraId="49928291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AF16694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6067F93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F53018D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2543252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BE5267D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24AA693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5E23FC0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19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lastRenderedPageBreak/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proofErr w:type="spellStart"/>
            <w:r w:rsidRPr="00D5214D">
              <w:rPr>
                <w:rFonts w:ascii="Times New Roman" w:hAnsi="Times New Roman"/>
                <w:sz w:val="22"/>
                <w:szCs w:val="22"/>
              </w:rPr>
              <w:t>Nör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4FC4" w:rsidRPr="00D5214D" w14:paraId="05B8368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712" w14:textId="4303C19C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Elisângela Fernandes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Bokorni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01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9A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653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E40" w14:textId="49AA61FB" w:rsidR="002E4FC4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2E4FC4" w:rsidRPr="00D5214D" w14:paraId="26FA3472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5CA" w14:textId="12D854E6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Weverthon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Foles Veras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44A7" w14:textId="16F49ACD" w:rsidR="002E4FC4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BF8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6DC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A19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40E35E8C" w:rsidR="00EA3ABB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6DAF03EA" w:rsidR="00160456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49ABFA4C" w:rsidR="00062D3E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Deodato Gomes Monteiro Neto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6E3606CA" w:rsidR="00062D3E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5D690E" w:rsidRPr="00D5214D" w14:paraId="4F9224F4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0FDD" w14:textId="20D316A1" w:rsidR="005D690E" w:rsidRDefault="005D690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4595" w14:textId="29AF6B0C" w:rsidR="005D690E" w:rsidRPr="00D5214D" w:rsidRDefault="008B055F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5D16" w14:textId="77777777" w:rsidR="005D690E" w:rsidRPr="00D5214D" w:rsidRDefault="005D690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1963" w14:textId="77777777" w:rsidR="005D690E" w:rsidRPr="00D5214D" w:rsidRDefault="005D690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E9AC" w14:textId="77777777" w:rsidR="005D690E" w:rsidRPr="00D5214D" w:rsidRDefault="005D690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84D0F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19016467" w:rsidR="00384D0F" w:rsidRPr="00D5214D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Adriano dos Santos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4213A4A9" w:rsidR="00384D0F" w:rsidRPr="00D5214D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0D8D8A64" w:rsidR="00384D0F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Thiago Rafael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Pandini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4B4BC32" w:rsidR="00384D0F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710DF7BA" w:rsidR="00384D0F" w:rsidRDefault="002C1D4C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Paulo Sérgio de Campos Borges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19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6E0B3B3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25/11/2023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37C6E7A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43092">
        <w:rPr>
          <w:rFonts w:ascii="Times New Roman" w:hAnsi="Times New Roman"/>
          <w:sz w:val="22"/>
          <w:szCs w:val="22"/>
        </w:rPr>
        <w:t>ACORDO COLETIVO CAU/MT 2024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2FA991B9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F9400C">
        <w:rPr>
          <w:rFonts w:ascii="Times New Roman" w:eastAsia="Times New Roman" w:hAnsi="Times New Roman"/>
          <w:color w:val="000000"/>
          <w:sz w:val="22"/>
          <w:szCs w:val="22"/>
        </w:rPr>
        <w:t>5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0A780F">
        <w:rPr>
          <w:rFonts w:ascii="Times New Roman" w:eastAsia="Times New Roman" w:hAnsi="Times New Roman"/>
          <w:color w:val="000000"/>
          <w:sz w:val="22"/>
          <w:szCs w:val="22"/>
        </w:rPr>
        <w:t>0</w:t>
      </w:r>
      <w:proofErr w:type="gramStart"/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proofErr w:type="gramEnd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F9400C">
        <w:rPr>
          <w:rFonts w:ascii="Times New Roman" w:eastAsia="Times New Roman" w:hAnsi="Times New Roman"/>
          <w:color w:val="000000"/>
          <w:sz w:val="22"/>
          <w:szCs w:val="22"/>
        </w:rPr>
        <w:t>4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André </w:t>
      </w:r>
      <w:proofErr w:type="spellStart"/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Nör</w:t>
      </w:r>
      <w:proofErr w:type="spellEnd"/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</w:t>
    </w:r>
    <w:proofErr w:type="gramEnd"/>
    <w:r w:rsidRPr="00A56089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147A2B30" w:rsidR="00FF2C72" w:rsidRPr="00B56F50" w:rsidRDefault="008E675F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t>1821548/2023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6F50" w:rsidRDefault="00B732D2" w:rsidP="00FF2C72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8E675F">
      <w:trPr>
        <w:cantSplit/>
        <w:trHeight w:val="110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28BC82AA" w:rsidR="00FF2C72" w:rsidRPr="00B56F50" w:rsidRDefault="008E675F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 w:rsidRPr="00577B42">
            <w:t>ACORDO COLETIVO 2024 CAU/MT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6687C"/>
    <w:multiLevelType w:val="hybridMultilevel"/>
    <w:tmpl w:val="CA70AED2"/>
    <w:lvl w:ilvl="0" w:tplc="9C3C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7DC5"/>
    <w:multiLevelType w:val="hybridMultilevel"/>
    <w:tmpl w:val="F57E7142"/>
    <w:lvl w:ilvl="0" w:tplc="71881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13F52"/>
    <w:multiLevelType w:val="hybridMultilevel"/>
    <w:tmpl w:val="240E985A"/>
    <w:lvl w:ilvl="0" w:tplc="6A4A32BE">
      <w:start w:val="7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1E6B"/>
    <w:multiLevelType w:val="hybridMultilevel"/>
    <w:tmpl w:val="4238CF1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1CE595F"/>
    <w:multiLevelType w:val="hybridMultilevel"/>
    <w:tmpl w:val="41C2278E"/>
    <w:lvl w:ilvl="0" w:tplc="D5D4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1"/>
  </w:num>
  <w:num w:numId="2" w16cid:durableId="1756365793">
    <w:abstractNumId w:val="2"/>
  </w:num>
  <w:num w:numId="3" w16cid:durableId="1806385720">
    <w:abstractNumId w:val="4"/>
  </w:num>
  <w:num w:numId="4" w16cid:durableId="521357994">
    <w:abstractNumId w:val="11"/>
  </w:num>
  <w:num w:numId="5" w16cid:durableId="344672201">
    <w:abstractNumId w:val="0"/>
  </w:num>
  <w:num w:numId="6" w16cid:durableId="841816453">
    <w:abstractNumId w:val="8"/>
  </w:num>
  <w:num w:numId="7" w16cid:durableId="1184973088">
    <w:abstractNumId w:val="20"/>
  </w:num>
  <w:num w:numId="8" w16cid:durableId="684526533">
    <w:abstractNumId w:val="15"/>
  </w:num>
  <w:num w:numId="9" w16cid:durableId="905451506">
    <w:abstractNumId w:val="9"/>
  </w:num>
  <w:num w:numId="10" w16cid:durableId="1240673576">
    <w:abstractNumId w:val="18"/>
  </w:num>
  <w:num w:numId="11" w16cid:durableId="272398674">
    <w:abstractNumId w:val="12"/>
  </w:num>
  <w:num w:numId="12" w16cid:durableId="62064700">
    <w:abstractNumId w:val="16"/>
  </w:num>
  <w:num w:numId="13" w16cid:durableId="468128549">
    <w:abstractNumId w:val="7"/>
  </w:num>
  <w:num w:numId="14" w16cid:durableId="864369092">
    <w:abstractNumId w:val="19"/>
  </w:num>
  <w:num w:numId="15" w16cid:durableId="1475417137">
    <w:abstractNumId w:val="17"/>
  </w:num>
  <w:num w:numId="16" w16cid:durableId="1154881161">
    <w:abstractNumId w:val="10"/>
  </w:num>
  <w:num w:numId="17" w16cid:durableId="2104493556">
    <w:abstractNumId w:val="6"/>
  </w:num>
  <w:num w:numId="18" w16cid:durableId="326325373">
    <w:abstractNumId w:val="6"/>
  </w:num>
  <w:num w:numId="19" w16cid:durableId="741682743">
    <w:abstractNumId w:val="13"/>
  </w:num>
  <w:num w:numId="20" w16cid:durableId="1085297370">
    <w:abstractNumId w:val="5"/>
  </w:num>
  <w:num w:numId="21" w16cid:durableId="1198204829">
    <w:abstractNumId w:val="14"/>
  </w:num>
  <w:num w:numId="22" w16cid:durableId="113102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075BD"/>
    <w:rsid w:val="00210ED2"/>
    <w:rsid w:val="00214865"/>
    <w:rsid w:val="002149F5"/>
    <w:rsid w:val="002162ED"/>
    <w:rsid w:val="002171D5"/>
    <w:rsid w:val="00232EC7"/>
    <w:rsid w:val="00237816"/>
    <w:rsid w:val="002418D3"/>
    <w:rsid w:val="00243092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1D4C"/>
    <w:rsid w:val="002C71F3"/>
    <w:rsid w:val="002D1AC4"/>
    <w:rsid w:val="002D4C79"/>
    <w:rsid w:val="002E4FC4"/>
    <w:rsid w:val="002E64C2"/>
    <w:rsid w:val="002F2283"/>
    <w:rsid w:val="003002A4"/>
    <w:rsid w:val="00305907"/>
    <w:rsid w:val="00305DC6"/>
    <w:rsid w:val="00313900"/>
    <w:rsid w:val="00321659"/>
    <w:rsid w:val="0032536C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DCD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33FC"/>
    <w:rsid w:val="005B4A9B"/>
    <w:rsid w:val="005C15D6"/>
    <w:rsid w:val="005C1EE8"/>
    <w:rsid w:val="005C220B"/>
    <w:rsid w:val="005C37AD"/>
    <w:rsid w:val="005C45E4"/>
    <w:rsid w:val="005C5C95"/>
    <w:rsid w:val="005D59C1"/>
    <w:rsid w:val="005D656F"/>
    <w:rsid w:val="005D690E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11693"/>
    <w:rsid w:val="006245CC"/>
    <w:rsid w:val="00624902"/>
    <w:rsid w:val="00633052"/>
    <w:rsid w:val="006348AC"/>
    <w:rsid w:val="006429A3"/>
    <w:rsid w:val="00645BBB"/>
    <w:rsid w:val="00662110"/>
    <w:rsid w:val="00671902"/>
    <w:rsid w:val="00676F74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331D"/>
    <w:rsid w:val="008A04CE"/>
    <w:rsid w:val="008A180F"/>
    <w:rsid w:val="008A44A1"/>
    <w:rsid w:val="008A46E3"/>
    <w:rsid w:val="008B055F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E675F"/>
    <w:rsid w:val="008F3681"/>
    <w:rsid w:val="008F4FDD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D2B"/>
    <w:rsid w:val="00953C9A"/>
    <w:rsid w:val="0096441F"/>
    <w:rsid w:val="00977288"/>
    <w:rsid w:val="0098201F"/>
    <w:rsid w:val="00986211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13E8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E92"/>
    <w:rsid w:val="00A862C3"/>
    <w:rsid w:val="00A90D21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56F50"/>
    <w:rsid w:val="00B60189"/>
    <w:rsid w:val="00B602EC"/>
    <w:rsid w:val="00B60898"/>
    <w:rsid w:val="00B61C18"/>
    <w:rsid w:val="00B6234C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400C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664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8</cp:revision>
  <cp:lastPrinted>2023-07-31T15:26:00Z</cp:lastPrinted>
  <dcterms:created xsi:type="dcterms:W3CDTF">2023-11-24T10:42:00Z</dcterms:created>
  <dcterms:modified xsi:type="dcterms:W3CDTF">2023-12-09T06:35:00Z</dcterms:modified>
</cp:coreProperties>
</file>